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8255DD" w14:textId="2E33C4AD" w:rsidR="00E95DED" w:rsidRPr="00E95DED" w:rsidRDefault="00E2532E" w:rsidP="00AA7B7D">
      <w:pPr>
        <w:pBdr>
          <w:top w:val="single" w:sz="6" w:space="6" w:color="E7E6E6" w:themeColor="background2"/>
          <w:left w:val="single" w:sz="6" w:space="8" w:color="E7E6E6" w:themeColor="background2"/>
          <w:bottom w:val="single" w:sz="6" w:space="6" w:color="E7E6E6" w:themeColor="background2"/>
          <w:right w:val="single" w:sz="6" w:space="8" w:color="E7E6E6" w:themeColor="background2"/>
        </w:pBdr>
        <w:shd w:val="clear" w:color="auto" w:fill="E7E6E6" w:themeFill="background2"/>
        <w:spacing w:after="0" w:line="360" w:lineRule="atLeast"/>
        <w:jc w:val="center"/>
        <w:rPr>
          <w:rFonts w:ascii="Century Schoolbook" w:eastAsia="Times New Roman" w:hAnsi="Century Schoolbook" w:cs="Arial"/>
          <w:b/>
          <w:bCs/>
          <w:color w:val="0A0A0A"/>
          <w:sz w:val="24"/>
          <w:szCs w:val="24"/>
          <w:lang w:val="es-GT" w:eastAsia="es-GT"/>
        </w:rPr>
      </w:pPr>
      <w:r>
        <w:rPr>
          <w:rFonts w:ascii="Century Schoolbook" w:eastAsia="Times New Roman" w:hAnsi="Century Schoolbook" w:cs="Arial"/>
          <w:noProof/>
          <w:color w:val="0A0A0A"/>
          <w:sz w:val="24"/>
          <w:szCs w:val="24"/>
          <w:lang w:val="es-GT" w:eastAsia="es-GT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2B56B639" wp14:editId="6F292F07">
                <wp:simplePos x="0" y="0"/>
                <wp:positionH relativeFrom="column">
                  <wp:posOffset>-348615</wp:posOffset>
                </wp:positionH>
                <wp:positionV relativeFrom="paragraph">
                  <wp:posOffset>-76835</wp:posOffset>
                </wp:positionV>
                <wp:extent cx="6309360" cy="3009900"/>
                <wp:effectExtent l="0" t="0" r="15240" b="19050"/>
                <wp:wrapNone/>
                <wp:docPr id="741570556" name="Rectángulo: esquinas redondeadas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09360" cy="3009900"/>
                        </a:xfrm>
                        <a:prstGeom prst="roundRect">
                          <a:avLst>
                            <a:gd name="adj" fmla="val 14363"/>
                          </a:avLst>
                        </a:prstGeom>
                        <a:solidFill>
                          <a:schemeClr val="bg2"/>
                        </a:solidFill>
                        <a:ln>
                          <a:solidFill>
                            <a:schemeClr val="bg2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9A01364" id="Rectángulo: esquinas redondeadas 2" o:spid="_x0000_s1026" style="position:absolute;margin-left:-27.45pt;margin-top:-6.05pt;width:496.8pt;height:237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9412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" fillcolor="#e7e6e6 [3214]" strokecolor="#aeaaaa [2414]" strokeweight="1pt">
                <v:stroke joinstyle="miter"/>
              </v:roundrect>
            </w:pict>
          </mc:Fallback>
        </mc:AlternateContent>
      </w:r>
      <w:r w:rsidR="00AA7B7D">
        <w:rPr>
          <w:rFonts w:ascii="Century Schoolbook" w:eastAsia="Times New Roman" w:hAnsi="Century Schoolbook" w:cs="Arial"/>
          <w:noProof/>
          <w:color w:val="0A0A0A"/>
          <w:sz w:val="24"/>
          <w:szCs w:val="24"/>
          <w:lang w:val="es-GT" w:eastAsia="es-GT"/>
        </w:rPr>
        <w:drawing>
          <wp:anchor distT="0" distB="0" distL="114300" distR="114300" simplePos="0" relativeHeight="251658240" behindDoc="0" locked="0" layoutInCell="1" allowOverlap="1" wp14:anchorId="3A96D81D" wp14:editId="0860C1B7">
            <wp:simplePos x="0" y="0"/>
            <wp:positionH relativeFrom="margin">
              <wp:align>left</wp:align>
            </wp:positionH>
            <wp:positionV relativeFrom="paragraph">
              <wp:posOffset>138430</wp:posOffset>
            </wp:positionV>
            <wp:extent cx="373380" cy="373380"/>
            <wp:effectExtent l="0" t="0" r="7620" b="7620"/>
            <wp:wrapNone/>
            <wp:docPr id="39008081" name="Gráfico 1" descr="Informació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008081" name="Gráfico 39008081" descr="Información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5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3380" cy="3733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95DED" w:rsidRPr="00E95DED">
        <w:rPr>
          <w:rFonts w:ascii="Century Schoolbook" w:eastAsia="Times New Roman" w:hAnsi="Century Schoolbook" w:cs="Arial"/>
          <w:b/>
          <w:bCs/>
          <w:color w:val="0A0A0A"/>
          <w:sz w:val="24"/>
          <w:szCs w:val="24"/>
          <w:lang w:val="es-GT" w:eastAsia="es-GT"/>
        </w:rPr>
        <w:t>NOTA ACLARATORIA</w:t>
      </w:r>
    </w:p>
    <w:p w14:paraId="21916759" w14:textId="7723A9BE" w:rsidR="00E95DED" w:rsidRPr="00E95DED" w:rsidRDefault="00E95DED" w:rsidP="00AA7B7D">
      <w:pPr>
        <w:pBdr>
          <w:top w:val="single" w:sz="6" w:space="6" w:color="E7E6E6" w:themeColor="background2"/>
          <w:left w:val="single" w:sz="6" w:space="8" w:color="E7E6E6" w:themeColor="background2"/>
          <w:bottom w:val="single" w:sz="6" w:space="6" w:color="E7E6E6" w:themeColor="background2"/>
          <w:right w:val="single" w:sz="6" w:space="8" w:color="E7E6E6" w:themeColor="background2"/>
        </w:pBdr>
        <w:shd w:val="clear" w:color="auto" w:fill="E7E6E6" w:themeFill="background2"/>
        <w:spacing w:after="0" w:line="360" w:lineRule="atLeast"/>
        <w:rPr>
          <w:rFonts w:ascii="Century Schoolbook" w:eastAsia="Times New Roman" w:hAnsi="Century Schoolbook" w:cs="Arial"/>
          <w:color w:val="0A0A0A"/>
          <w:sz w:val="24"/>
          <w:szCs w:val="24"/>
          <w:lang w:val="es-GT" w:eastAsia="es-GT"/>
        </w:rPr>
      </w:pPr>
    </w:p>
    <w:p w14:paraId="0B24C6B2" w14:textId="6811767E" w:rsidR="00E95DED" w:rsidRPr="00E95DED" w:rsidRDefault="00E95DED" w:rsidP="00AA7B7D">
      <w:pPr>
        <w:pBdr>
          <w:top w:val="single" w:sz="6" w:space="6" w:color="E7E6E6" w:themeColor="background2"/>
          <w:left w:val="single" w:sz="6" w:space="8" w:color="E7E6E6" w:themeColor="background2"/>
          <w:bottom w:val="single" w:sz="6" w:space="6" w:color="E7E6E6" w:themeColor="background2"/>
          <w:right w:val="single" w:sz="6" w:space="8" w:color="E7E6E6" w:themeColor="background2"/>
        </w:pBdr>
        <w:shd w:val="clear" w:color="auto" w:fill="E7E6E6" w:themeFill="background2"/>
        <w:spacing w:after="0" w:line="360" w:lineRule="auto"/>
        <w:jc w:val="both"/>
        <w:rPr>
          <w:rFonts w:ascii="Century Schoolbook" w:eastAsia="Times New Roman" w:hAnsi="Century Schoolbook" w:cs="Arial"/>
          <w:color w:val="0A0A0A"/>
          <w:sz w:val="24"/>
          <w:szCs w:val="24"/>
          <w:lang w:val="es-GT" w:eastAsia="es-GT"/>
        </w:rPr>
      </w:pPr>
      <w:r w:rsidRPr="00E95DED">
        <w:rPr>
          <w:rFonts w:ascii="Century Schoolbook" w:eastAsia="Times New Roman" w:hAnsi="Century Schoolbook" w:cs="Arial"/>
          <w:color w:val="0A0A0A"/>
          <w:sz w:val="24"/>
          <w:szCs w:val="24"/>
          <w:lang w:val="es-GT" w:eastAsia="es-GT"/>
        </w:rPr>
        <w:t>Se hace del conocimiento público que, a la presente fecha, los informes de auditoría correspondientes al ejercicio fiscal </w:t>
      </w:r>
      <w:r w:rsidRPr="00E95DED">
        <w:rPr>
          <w:rFonts w:ascii="Century Schoolbook" w:eastAsia="Times New Roman" w:hAnsi="Century Schoolbook" w:cs="Arial"/>
          <w:b/>
          <w:bCs/>
          <w:color w:val="0A0A0A"/>
          <w:sz w:val="24"/>
          <w:szCs w:val="24"/>
          <w:lang w:val="es-GT" w:eastAsia="es-GT"/>
        </w:rPr>
        <w:t>2025</w:t>
      </w:r>
      <w:r w:rsidRPr="00E95DED">
        <w:rPr>
          <w:rFonts w:ascii="Century Schoolbook" w:eastAsia="Times New Roman" w:hAnsi="Century Schoolbook" w:cs="Arial"/>
          <w:color w:val="0A0A0A"/>
          <w:sz w:val="24"/>
          <w:szCs w:val="24"/>
          <w:lang w:val="es-GT" w:eastAsia="es-GT"/>
        </w:rPr>
        <w:t> no han sido emitidos ni publicados por la </w:t>
      </w:r>
      <w:r w:rsidRPr="00E95DED">
        <w:rPr>
          <w:rFonts w:ascii="Century Schoolbook" w:eastAsia="Times New Roman" w:hAnsi="Century Schoolbook" w:cs="Arial"/>
          <w:b/>
          <w:bCs/>
          <w:color w:val="0A0A0A"/>
          <w:sz w:val="24"/>
          <w:szCs w:val="24"/>
          <w:lang w:val="es-GT" w:eastAsia="es-GT"/>
        </w:rPr>
        <w:t>Contraloría General de Cuentas (CGC)</w:t>
      </w:r>
      <w:r w:rsidRPr="00E95DED">
        <w:rPr>
          <w:rFonts w:ascii="Century Schoolbook" w:eastAsia="Times New Roman" w:hAnsi="Century Schoolbook" w:cs="Arial"/>
          <w:color w:val="0A0A0A"/>
          <w:sz w:val="24"/>
          <w:szCs w:val="24"/>
          <w:lang w:val="es-GT" w:eastAsia="es-GT"/>
        </w:rPr>
        <w:t> en su portal oficial. En cumplimiento con los principios de transparencia, este numeral presenta los informes del año </w:t>
      </w:r>
      <w:r w:rsidRPr="00E95DED">
        <w:rPr>
          <w:rFonts w:ascii="Century Schoolbook" w:eastAsia="Times New Roman" w:hAnsi="Century Schoolbook" w:cs="Arial"/>
          <w:b/>
          <w:bCs/>
          <w:color w:val="0A0A0A"/>
          <w:sz w:val="24"/>
          <w:szCs w:val="24"/>
          <w:lang w:val="es-GT" w:eastAsia="es-GT"/>
        </w:rPr>
        <w:t>2024</w:t>
      </w:r>
      <w:r w:rsidRPr="00E95DED">
        <w:rPr>
          <w:rFonts w:ascii="Century Schoolbook" w:eastAsia="Times New Roman" w:hAnsi="Century Schoolbook" w:cs="Arial"/>
          <w:color w:val="0A0A0A"/>
          <w:sz w:val="24"/>
          <w:szCs w:val="24"/>
          <w:lang w:val="es-GT" w:eastAsia="es-GT"/>
        </w:rPr>
        <w:t>, los cuales representan la información oficial vigente. La Municipalidad de San Lucas Sacatepéquez procederá a la actualización inmediata de este apartado una vez que el ente rector publique los resultados más recientes.</w:t>
      </w:r>
    </w:p>
    <w:p w14:paraId="319F4D74" w14:textId="4F54EFDA" w:rsidR="0049633A" w:rsidRPr="00E95DED" w:rsidRDefault="0049633A" w:rsidP="00E95DED">
      <w:pPr>
        <w:rPr>
          <w:rFonts w:ascii="Century Schoolbook" w:hAnsi="Century Schoolbook"/>
        </w:rPr>
      </w:pPr>
    </w:p>
    <w:sectPr w:rsidR="0049633A" w:rsidRPr="00E95DED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EBC"/>
    <w:rsid w:val="001B2080"/>
    <w:rsid w:val="0049633A"/>
    <w:rsid w:val="00AA7B7D"/>
    <w:rsid w:val="00D96EBC"/>
    <w:rsid w:val="00E2532E"/>
    <w:rsid w:val="00E95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G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5249224"/>
  <w15:chartTrackingRefBased/>
  <w15:docId w15:val="{6F0D130A-F483-473B-B49D-35AB3BBDD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G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s-419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ennegrita">
    <w:name w:val="Strong"/>
    <w:basedOn w:val="Fuentedeprrafopredeter"/>
    <w:uiPriority w:val="22"/>
    <w:qFormat/>
    <w:rsid w:val="00E95DE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449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95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27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sv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87</Words>
  <Characters>484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José Catellan</dc:creator>
  <cp:keywords/>
  <dc:description/>
  <cp:lastModifiedBy>José Catellan</cp:lastModifiedBy>
  <cp:revision>1</cp:revision>
  <dcterms:created xsi:type="dcterms:W3CDTF">2026-03-18T18:01:00Z</dcterms:created>
  <dcterms:modified xsi:type="dcterms:W3CDTF">2026-03-18T18:50:00Z</dcterms:modified>
</cp:coreProperties>
</file>